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C0" w:rsidRPr="001948B7" w:rsidRDefault="00260273">
      <w:pPr>
        <w:pageBreakBefore/>
        <w:spacing w:line="276" w:lineRule="auto"/>
        <w:jc w:val="both"/>
        <w:rPr>
          <w:b/>
          <w:sz w:val="24"/>
        </w:rPr>
      </w:pPr>
      <w:r w:rsidRPr="001948B7">
        <w:rPr>
          <w:b/>
          <w:sz w:val="24"/>
        </w:rPr>
        <w:t>Приложение 1. Техническое задание</w:t>
      </w:r>
    </w:p>
    <w:p w:rsidR="008633C0" w:rsidRPr="001948B7" w:rsidRDefault="008633C0">
      <w:pPr>
        <w:spacing w:line="100" w:lineRule="atLeast"/>
        <w:ind w:right="-1"/>
        <w:rPr>
          <w:bCs/>
          <w:sz w:val="24"/>
        </w:rPr>
      </w:pPr>
    </w:p>
    <w:p w:rsidR="008633C0" w:rsidRPr="001948B7" w:rsidRDefault="008633C0">
      <w:pPr>
        <w:spacing w:line="100" w:lineRule="atLeast"/>
        <w:ind w:right="-1"/>
        <w:rPr>
          <w:bCs/>
          <w:sz w:val="24"/>
        </w:rPr>
      </w:pPr>
    </w:p>
    <w:p w:rsidR="008633C0" w:rsidRPr="001948B7" w:rsidRDefault="00260273">
      <w:pPr>
        <w:spacing w:line="100" w:lineRule="atLeast"/>
        <w:ind w:right="-1"/>
        <w:jc w:val="center"/>
        <w:rPr>
          <w:b/>
          <w:bCs/>
          <w:sz w:val="24"/>
        </w:rPr>
      </w:pPr>
      <w:r w:rsidRPr="001948B7">
        <w:rPr>
          <w:b/>
          <w:bCs/>
          <w:sz w:val="24"/>
        </w:rPr>
        <w:t>ТЕХНИЧЕСКОЕ ЗАДАНИЕ</w:t>
      </w:r>
    </w:p>
    <w:p w:rsidR="008633C0" w:rsidRPr="001948B7" w:rsidRDefault="00260273" w:rsidP="0051378B">
      <w:pPr>
        <w:spacing w:line="100" w:lineRule="atLeast"/>
        <w:ind w:right="-1"/>
        <w:jc w:val="center"/>
        <w:rPr>
          <w:bCs/>
          <w:sz w:val="24"/>
        </w:rPr>
      </w:pPr>
      <w:r w:rsidRPr="001948B7">
        <w:rPr>
          <w:b/>
          <w:bCs/>
          <w:sz w:val="24"/>
        </w:rPr>
        <w:t xml:space="preserve">на поставку </w:t>
      </w:r>
      <w:r w:rsidR="00D47957" w:rsidRPr="001948B7">
        <w:rPr>
          <w:b/>
          <w:bCs/>
          <w:sz w:val="24"/>
        </w:rPr>
        <w:t xml:space="preserve">двухсторонней </w:t>
      </w:r>
      <w:r w:rsidR="0051378B" w:rsidRPr="001948B7">
        <w:rPr>
          <w:b/>
          <w:bCs/>
          <w:sz w:val="24"/>
        </w:rPr>
        <w:t>кле</w:t>
      </w:r>
      <w:r w:rsidR="008F1A4C" w:rsidRPr="001948B7">
        <w:rPr>
          <w:b/>
          <w:bCs/>
          <w:sz w:val="24"/>
        </w:rPr>
        <w:t>йкой</w:t>
      </w:r>
      <w:r w:rsidR="0051378B" w:rsidRPr="001948B7">
        <w:rPr>
          <w:b/>
          <w:bCs/>
          <w:sz w:val="24"/>
        </w:rPr>
        <w:t xml:space="preserve"> ленты 3M</w:t>
      </w:r>
    </w:p>
    <w:p w:rsidR="008633C0" w:rsidRPr="001948B7" w:rsidRDefault="008633C0">
      <w:pPr>
        <w:spacing w:line="100" w:lineRule="atLeast"/>
        <w:ind w:right="-1"/>
        <w:rPr>
          <w:bCs/>
          <w:sz w:val="24"/>
        </w:rPr>
      </w:pPr>
    </w:p>
    <w:p w:rsidR="008633C0" w:rsidRPr="001948B7" w:rsidRDefault="00260273" w:rsidP="001948B7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bookmarkStart w:id="0" w:name="_Hlk21287772"/>
      <w:r w:rsidRPr="001948B7">
        <w:rPr>
          <w:b/>
          <w:bCs/>
          <w:sz w:val="24"/>
        </w:rPr>
        <w:t>Предмет договора:</w:t>
      </w:r>
      <w:r w:rsidRPr="001948B7">
        <w:rPr>
          <w:sz w:val="24"/>
        </w:rPr>
        <w:t xml:space="preserve"> </w:t>
      </w:r>
      <w:r w:rsidRPr="001948B7">
        <w:rPr>
          <w:sz w:val="24"/>
        </w:rPr>
        <w:fldChar w:fldCharType="begin"/>
      </w:r>
      <w:r w:rsidRPr="001948B7">
        <w:rPr>
          <w:sz w:val="24"/>
        </w:rPr>
        <w:instrText xml:space="preserve"> MERGEFIELD "предмет_закупки" </w:instrText>
      </w:r>
      <w:r w:rsidRPr="001948B7">
        <w:rPr>
          <w:sz w:val="24"/>
        </w:rPr>
        <w:fldChar w:fldCharType="separate"/>
      </w:r>
      <w:r w:rsidRPr="001948B7">
        <w:rPr>
          <w:sz w:val="24"/>
        </w:rPr>
        <w:t xml:space="preserve">поставка </w:t>
      </w:r>
      <w:r w:rsidRPr="001948B7">
        <w:rPr>
          <w:sz w:val="24"/>
        </w:rPr>
        <w:fldChar w:fldCharType="end"/>
      </w:r>
      <w:bookmarkEnd w:id="0"/>
      <w:r w:rsidR="00D47957" w:rsidRPr="001948B7">
        <w:rPr>
          <w:sz w:val="24"/>
        </w:rPr>
        <w:t>дву</w:t>
      </w:r>
      <w:r w:rsidR="0051378B" w:rsidRPr="001948B7">
        <w:rPr>
          <w:sz w:val="24"/>
        </w:rPr>
        <w:t>хсторонней кле</w:t>
      </w:r>
      <w:r w:rsidR="008F1A4C" w:rsidRPr="001948B7">
        <w:rPr>
          <w:sz w:val="24"/>
        </w:rPr>
        <w:t>йкой</w:t>
      </w:r>
      <w:r w:rsidR="0051378B" w:rsidRPr="001948B7">
        <w:rPr>
          <w:sz w:val="24"/>
        </w:rPr>
        <w:t xml:space="preserve"> ленты 3М</w:t>
      </w:r>
    </w:p>
    <w:p w:rsidR="008633C0" w:rsidRPr="001948B7" w:rsidRDefault="008633C0">
      <w:pPr>
        <w:spacing w:line="100" w:lineRule="atLeast"/>
        <w:rPr>
          <w:sz w:val="24"/>
        </w:rPr>
      </w:pPr>
    </w:p>
    <w:p w:rsidR="008633C0" w:rsidRPr="001948B7" w:rsidRDefault="00260273" w:rsidP="001948B7">
      <w:pPr>
        <w:numPr>
          <w:ilvl w:val="0"/>
          <w:numId w:val="6"/>
        </w:numPr>
        <w:spacing w:line="100" w:lineRule="atLeast"/>
        <w:ind w:left="709" w:hanging="709"/>
        <w:rPr>
          <w:b/>
          <w:bCs/>
          <w:sz w:val="24"/>
        </w:rPr>
      </w:pPr>
      <w:r w:rsidRPr="001948B7">
        <w:rPr>
          <w:b/>
          <w:bCs/>
          <w:sz w:val="24"/>
        </w:rPr>
        <w:t>Перечень необходимого товара:</w:t>
      </w:r>
      <w:bookmarkStart w:id="1" w:name="_GoBack"/>
      <w:bookmarkEnd w:id="1"/>
    </w:p>
    <w:p w:rsidR="008633C0" w:rsidRPr="001948B7" w:rsidRDefault="008633C0">
      <w:pPr>
        <w:spacing w:line="100" w:lineRule="atLeast"/>
        <w:ind w:left="218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93"/>
        <w:gridCol w:w="1172"/>
        <w:gridCol w:w="4628"/>
        <w:gridCol w:w="791"/>
        <w:gridCol w:w="4931"/>
      </w:tblGrid>
      <w:tr w:rsidR="001948B7" w:rsidRPr="001948B7" w:rsidTr="001948B7">
        <w:trPr>
          <w:trHeight w:val="1304"/>
          <w:jc w:val="center"/>
        </w:trPr>
        <w:tc>
          <w:tcPr>
            <w:tcW w:w="196" w:type="pct"/>
            <w:shd w:val="clear" w:color="auto" w:fill="auto"/>
            <w:vAlign w:val="center"/>
          </w:tcPr>
          <w:p w:rsidR="00CD3FD0" w:rsidRPr="001948B7" w:rsidRDefault="00CD3F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B7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768" w:type="pct"/>
            <w:vAlign w:val="center"/>
          </w:tcPr>
          <w:p w:rsidR="00CD3FD0" w:rsidRPr="001948B7" w:rsidRDefault="00CD3F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B7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410" w:type="pct"/>
            <w:vAlign w:val="center"/>
          </w:tcPr>
          <w:p w:rsidR="00CD3FD0" w:rsidRPr="001948B7" w:rsidRDefault="00CD3FD0" w:rsidP="006B522F">
            <w:pPr>
              <w:jc w:val="center"/>
              <w:rPr>
                <w:b/>
                <w:bCs/>
                <w:sz w:val="24"/>
              </w:rPr>
            </w:pPr>
            <w:r w:rsidRPr="001948B7">
              <w:rPr>
                <w:b/>
                <w:bCs/>
                <w:sz w:val="24"/>
              </w:rPr>
              <w:t>Артикул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D3FD0" w:rsidRPr="001948B7" w:rsidRDefault="00CD3FD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948B7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277" w:type="pct"/>
            <w:vAlign w:val="center"/>
          </w:tcPr>
          <w:p w:rsidR="00CD3FD0" w:rsidRPr="001948B7" w:rsidRDefault="00CD3FD0">
            <w:pPr>
              <w:jc w:val="center"/>
              <w:rPr>
                <w:b/>
                <w:bCs/>
                <w:sz w:val="24"/>
              </w:rPr>
            </w:pPr>
            <w:r w:rsidRPr="001948B7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D3FD0" w:rsidRPr="001948B7" w:rsidRDefault="00CD3FD0">
            <w:pPr>
              <w:jc w:val="center"/>
              <w:rPr>
                <w:b/>
                <w:bCs/>
                <w:sz w:val="24"/>
              </w:rPr>
            </w:pPr>
            <w:r w:rsidRPr="001948B7">
              <w:rPr>
                <w:b/>
                <w:bCs/>
                <w:sz w:val="24"/>
              </w:rPr>
              <w:t>Ориентировочный месячный объем потребности на будущий период (на 1 (один) календарный месяц)</w:t>
            </w:r>
          </w:p>
        </w:tc>
      </w:tr>
      <w:tr w:rsidR="001948B7" w:rsidRPr="001948B7" w:rsidTr="001948B7">
        <w:trPr>
          <w:trHeight w:val="624"/>
          <w:jc w:val="center"/>
        </w:trPr>
        <w:tc>
          <w:tcPr>
            <w:tcW w:w="196" w:type="pct"/>
            <w:shd w:val="clear" w:color="auto" w:fill="auto"/>
            <w:noWrap/>
            <w:vAlign w:val="center"/>
          </w:tcPr>
          <w:p w:rsidR="00CD3FD0" w:rsidRPr="001948B7" w:rsidRDefault="00CD3FD0">
            <w:pPr>
              <w:jc w:val="center"/>
              <w:rPr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vAlign w:val="center"/>
          </w:tcPr>
          <w:p w:rsidR="00CD3FD0" w:rsidRPr="001948B7" w:rsidRDefault="00CD3FD0" w:rsidP="00D47957">
            <w:pPr>
              <w:jc w:val="both"/>
              <w:rPr>
                <w:color w:val="000000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Лента двухсторонняя клейкая Н=30мм 3М 300LSE</w:t>
            </w:r>
          </w:p>
        </w:tc>
        <w:tc>
          <w:tcPr>
            <w:tcW w:w="410" w:type="pct"/>
            <w:shd w:val="clear" w:color="FFFFFF" w:fill="FFFFFF"/>
            <w:vAlign w:val="center"/>
          </w:tcPr>
          <w:p w:rsidR="00CD3FD0" w:rsidRPr="001948B7" w:rsidRDefault="002537B6" w:rsidP="00CD3FD0">
            <w:pPr>
              <w:jc w:val="center"/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906857</w:t>
            </w:r>
          </w:p>
        </w:tc>
        <w:tc>
          <w:tcPr>
            <w:tcW w:w="1621" w:type="pct"/>
            <w:shd w:val="clear" w:color="FFFFFF" w:fill="FFFFFF"/>
            <w:vAlign w:val="center"/>
          </w:tcPr>
          <w:p w:rsidR="00CD3FD0" w:rsidRPr="001948B7" w:rsidRDefault="00CD3FD0" w:rsidP="00D47957">
            <w:pPr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Лента двусторонняя на ПЭФ основе, прозрачная, рулон</w:t>
            </w:r>
          </w:p>
          <w:p w:rsidR="00CD3FD0" w:rsidRPr="001948B7" w:rsidRDefault="00CD3FD0" w:rsidP="00D47957">
            <w:pPr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Тип клеящего покрытия – 300LSE</w:t>
            </w:r>
          </w:p>
          <w:p w:rsidR="00CD3FD0" w:rsidRPr="001948B7" w:rsidRDefault="00CD3FD0" w:rsidP="00D47957">
            <w:pPr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 xml:space="preserve">Общая толщина -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1948B7">
                <w:rPr>
                  <w:color w:val="333333"/>
                  <w:kern w:val="36"/>
                  <w:sz w:val="24"/>
                </w:rPr>
                <w:t>0,2 мм</w:t>
              </w:r>
            </w:smartTag>
            <w:r w:rsidRPr="001948B7">
              <w:rPr>
                <w:color w:val="333333"/>
                <w:kern w:val="36"/>
                <w:sz w:val="24"/>
              </w:rPr>
              <w:t xml:space="preserve"> </w:t>
            </w:r>
          </w:p>
          <w:p w:rsidR="00CD3FD0" w:rsidRPr="001948B7" w:rsidRDefault="00CD3FD0" w:rsidP="00D47957">
            <w:pPr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Толщина ПЭФ основы – 0,12 мм</w:t>
            </w:r>
          </w:p>
          <w:p w:rsidR="00CD3FD0" w:rsidRPr="001948B7" w:rsidRDefault="00CD3FD0" w:rsidP="00D47957">
            <w:pPr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-30 мм"/>
              </w:smartTagPr>
              <w:r w:rsidRPr="001948B7">
                <w:rPr>
                  <w:color w:val="333333"/>
                  <w:kern w:val="36"/>
                  <w:sz w:val="24"/>
                </w:rPr>
                <w:t>-30 мм</w:t>
              </w:r>
            </w:smartTag>
          </w:p>
          <w:p w:rsidR="00CD3FD0" w:rsidRPr="001948B7" w:rsidRDefault="00CD3FD0" w:rsidP="00D47957">
            <w:pPr>
              <w:rPr>
                <w:color w:val="000000"/>
                <w:sz w:val="24"/>
                <w:lang w:val="en-US"/>
              </w:rPr>
            </w:pPr>
            <w:r w:rsidRPr="001948B7">
              <w:rPr>
                <w:color w:val="333333"/>
                <w:kern w:val="36"/>
                <w:sz w:val="24"/>
              </w:rPr>
              <w:t xml:space="preserve">Длина рулона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948B7">
                <w:rPr>
                  <w:color w:val="333333"/>
                  <w:kern w:val="36"/>
                  <w:sz w:val="24"/>
                </w:rPr>
                <w:t>50 м</w:t>
              </w:r>
            </w:smartTag>
            <w:r w:rsidRPr="001948B7">
              <w:rPr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277" w:type="pct"/>
            <w:vAlign w:val="center"/>
          </w:tcPr>
          <w:p w:rsidR="00CD3FD0" w:rsidRPr="001948B7" w:rsidRDefault="00CD3FD0" w:rsidP="00B545F7">
            <w:pPr>
              <w:jc w:val="center"/>
              <w:rPr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шт.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D3FD0" w:rsidRPr="001948B7" w:rsidRDefault="00CD3FD0" w:rsidP="00B545F7">
            <w:pPr>
              <w:jc w:val="center"/>
              <w:rPr>
                <w:color w:val="333333"/>
                <w:kern w:val="36"/>
                <w:sz w:val="24"/>
              </w:rPr>
            </w:pPr>
            <w:r w:rsidRPr="001948B7">
              <w:rPr>
                <w:color w:val="333333"/>
                <w:kern w:val="36"/>
                <w:sz w:val="24"/>
              </w:rPr>
              <w:t>141</w:t>
            </w:r>
          </w:p>
        </w:tc>
      </w:tr>
    </w:tbl>
    <w:p w:rsidR="008633C0" w:rsidRPr="001948B7" w:rsidRDefault="008633C0">
      <w:pPr>
        <w:spacing w:line="100" w:lineRule="atLeast"/>
        <w:jc w:val="both"/>
        <w:rPr>
          <w:b/>
          <w:bCs/>
          <w:sz w:val="24"/>
        </w:rPr>
      </w:pPr>
    </w:p>
    <w:p w:rsidR="007C6B79" w:rsidRPr="001948B7" w:rsidRDefault="007C6B79" w:rsidP="007C6B79">
      <w:pPr>
        <w:pStyle w:val="aff4"/>
        <w:numPr>
          <w:ilvl w:val="0"/>
          <w:numId w:val="6"/>
        </w:numPr>
        <w:suppressAutoHyphens/>
        <w:ind w:left="709" w:hanging="709"/>
        <w:jc w:val="both"/>
        <w:rPr>
          <w:b/>
          <w:bCs/>
          <w:sz w:val="24"/>
        </w:rPr>
      </w:pPr>
      <w:r w:rsidRPr="001948B7">
        <w:rPr>
          <w:b/>
          <w:bCs/>
          <w:sz w:val="24"/>
        </w:rPr>
        <w:t>Основные технические требования:</w:t>
      </w:r>
    </w:p>
    <w:p w:rsidR="007C6B79" w:rsidRPr="001948B7" w:rsidRDefault="007C6B79" w:rsidP="001948B7">
      <w:pPr>
        <w:pStyle w:val="aff4"/>
        <w:widowControl w:val="0"/>
        <w:numPr>
          <w:ilvl w:val="1"/>
          <w:numId w:val="6"/>
        </w:numPr>
        <w:tabs>
          <w:tab w:val="left" w:pos="709"/>
        </w:tabs>
        <w:ind w:left="709" w:hanging="709"/>
        <w:contextualSpacing/>
        <w:jc w:val="both"/>
        <w:rPr>
          <w:b/>
          <w:bCs/>
          <w:sz w:val="24"/>
          <w:lang w:val="en-US"/>
        </w:rPr>
      </w:pPr>
      <w:r w:rsidRPr="001948B7">
        <w:rPr>
          <w:rFonts w:eastAsia="Calibri"/>
          <w:sz w:val="24"/>
          <w:lang w:eastAsia="en-US"/>
        </w:rPr>
        <w:t>Склеивание 2-х материалов:</w:t>
      </w:r>
    </w:p>
    <w:p w:rsidR="007C6B79" w:rsidRPr="001948B7" w:rsidRDefault="007C6B79" w:rsidP="001948B7">
      <w:pPr>
        <w:pStyle w:val="aff4"/>
        <w:widowControl w:val="0"/>
        <w:tabs>
          <w:tab w:val="left" w:pos="709"/>
        </w:tabs>
        <w:ind w:left="709"/>
        <w:contextualSpacing/>
        <w:jc w:val="both"/>
        <w:rPr>
          <w:rFonts w:eastAsia="Calibri"/>
          <w:sz w:val="24"/>
          <w:lang w:eastAsia="en-US"/>
        </w:rPr>
      </w:pPr>
      <w:r w:rsidRPr="001948B7">
        <w:rPr>
          <w:rFonts w:eastAsia="Calibri"/>
          <w:sz w:val="24"/>
          <w:lang w:eastAsia="en-US"/>
        </w:rPr>
        <w:t>лист</w:t>
      </w:r>
      <w:r w:rsidRPr="001948B7">
        <w:rPr>
          <w:bCs/>
          <w:sz w:val="24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sz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lang w:eastAsia="en-US"/>
              </w:rPr>
              <m:t>БТ-ПН-1.2 ГОСТ19904-90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lang w:eastAsia="en-US"/>
              </w:rPr>
              <m:t>ОК360В3-</m:t>
            </m:r>
            <m:r>
              <w:rPr>
                <w:rFonts w:ascii="Cambria Math" w:eastAsia="Calibri" w:hAnsi="Cambria Math"/>
                <w:sz w:val="24"/>
                <w:lang w:eastAsia="en-US"/>
              </w:rPr>
              <m:t>III</m:t>
            </m:r>
            <m:r>
              <m:rPr>
                <m:sty m:val="p"/>
              </m:rPr>
              <w:rPr>
                <w:rFonts w:ascii="Cambria Math" w:eastAsia="Calibri" w:hAnsi="Cambria Math"/>
                <w:sz w:val="24"/>
                <w:lang w:eastAsia="en-US"/>
              </w:rPr>
              <m:t>бСт3псГОСТ 16523-97</m:t>
            </m:r>
          </m:den>
        </m:f>
      </m:oMath>
      <w:r w:rsidRPr="001948B7">
        <w:rPr>
          <w:rFonts w:eastAsia="Calibri"/>
          <w:sz w:val="24"/>
          <w:lang w:eastAsia="en-US"/>
        </w:rPr>
        <w:t>,</w:t>
      </w:r>
      <w:r w:rsidRPr="001948B7">
        <w:rPr>
          <w:bCs/>
          <w:sz w:val="24"/>
        </w:rPr>
        <w:t xml:space="preserve"> </w:t>
      </w:r>
      <w:r w:rsidRPr="001948B7">
        <w:rPr>
          <w:rFonts w:eastAsia="Calibri"/>
          <w:sz w:val="24"/>
          <w:lang w:eastAsia="en-US"/>
        </w:rPr>
        <w:t>(с порошковым покрытием ГОСТ 9.410-88, текстура шагрень)</w:t>
      </w:r>
      <w:r w:rsidRPr="001948B7">
        <w:rPr>
          <w:bCs/>
          <w:sz w:val="24"/>
        </w:rPr>
        <w:t xml:space="preserve"> + лист </w:t>
      </w:r>
      <m:oMath>
        <m:f>
          <m:fPr>
            <m:ctrlPr>
              <w:rPr>
                <w:rFonts w:ascii="Cambria Math" w:eastAsia="Calibri" w:hAnsi="Cambria Math"/>
                <w:sz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lang w:eastAsia="en-US"/>
              </w:rPr>
              <m:t>БТ-ПН-0-0,8 ГОСТ19904-90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lang w:eastAsia="en-US"/>
              </w:rPr>
              <m:t>08х18Н10 ГОСТ 5582-75</m:t>
            </m:r>
          </m:den>
        </m:f>
      </m:oMath>
    </w:p>
    <w:p w:rsidR="007C6B79" w:rsidRPr="001948B7" w:rsidRDefault="007C6B79" w:rsidP="001948B7">
      <w:pPr>
        <w:pStyle w:val="aff4"/>
        <w:widowControl w:val="0"/>
        <w:numPr>
          <w:ilvl w:val="1"/>
          <w:numId w:val="18"/>
        </w:numPr>
        <w:tabs>
          <w:tab w:val="left" w:pos="709"/>
        </w:tabs>
        <w:ind w:left="709" w:hanging="709"/>
        <w:contextualSpacing/>
        <w:jc w:val="both"/>
        <w:rPr>
          <w:rFonts w:eastAsia="Calibri"/>
          <w:sz w:val="24"/>
          <w:lang w:eastAsia="en-US"/>
        </w:rPr>
      </w:pPr>
      <w:r w:rsidRPr="001948B7">
        <w:rPr>
          <w:rFonts w:eastAsia="Calibri"/>
          <w:sz w:val="24"/>
          <w:lang w:eastAsia="en-US"/>
        </w:rPr>
        <w:t>Значение усилия отрыва – не менее 20 кгс, без нарушения соединения (согласно технологической инструкции № 22187.25000.00153)</w:t>
      </w:r>
      <w:r w:rsidR="0051378B" w:rsidRPr="001948B7">
        <w:rPr>
          <w:rFonts w:eastAsia="Calibri"/>
          <w:sz w:val="24"/>
          <w:lang w:eastAsia="en-US"/>
        </w:rPr>
        <w:t>.</w:t>
      </w:r>
    </w:p>
    <w:p w:rsidR="007C6B79" w:rsidRPr="001948B7" w:rsidRDefault="007C6B79" w:rsidP="001948B7">
      <w:pPr>
        <w:pStyle w:val="aff4"/>
        <w:widowControl w:val="0"/>
        <w:numPr>
          <w:ilvl w:val="1"/>
          <w:numId w:val="18"/>
        </w:numPr>
        <w:tabs>
          <w:tab w:val="left" w:pos="709"/>
        </w:tabs>
        <w:ind w:left="709" w:hanging="709"/>
        <w:contextualSpacing/>
        <w:jc w:val="both"/>
        <w:rPr>
          <w:rFonts w:eastAsia="Calibri"/>
          <w:sz w:val="24"/>
          <w:lang w:eastAsia="en-US"/>
        </w:rPr>
      </w:pPr>
      <w:r w:rsidRPr="001948B7">
        <w:rPr>
          <w:rFonts w:eastAsia="Calibri"/>
          <w:sz w:val="24"/>
          <w:lang w:eastAsia="en-US"/>
        </w:rPr>
        <w:t>Значение усилия сдвига – не менее 110 кгс, без нарушения соединения (согласно технологической инструкции № 22187.25000.00153)</w:t>
      </w:r>
      <w:r w:rsidR="0051378B" w:rsidRPr="001948B7">
        <w:rPr>
          <w:rFonts w:eastAsia="Calibri"/>
          <w:sz w:val="24"/>
          <w:lang w:eastAsia="en-US"/>
        </w:rPr>
        <w:t>.</w:t>
      </w:r>
    </w:p>
    <w:p w:rsidR="0089594D" w:rsidRPr="001948B7" w:rsidRDefault="0089594D" w:rsidP="0089594D">
      <w:pPr>
        <w:pStyle w:val="aff4"/>
        <w:widowControl w:val="0"/>
        <w:tabs>
          <w:tab w:val="left" w:pos="709"/>
        </w:tabs>
        <w:ind w:left="709"/>
        <w:contextualSpacing/>
        <w:jc w:val="both"/>
        <w:rPr>
          <w:rFonts w:eastAsia="Calibri"/>
          <w:sz w:val="24"/>
          <w:lang w:eastAsia="en-US"/>
        </w:rPr>
      </w:pPr>
    </w:p>
    <w:p w:rsidR="0089594D" w:rsidRPr="001948B7" w:rsidRDefault="0089594D" w:rsidP="0089594D">
      <w:pPr>
        <w:pStyle w:val="aff4"/>
        <w:numPr>
          <w:ilvl w:val="0"/>
          <w:numId w:val="18"/>
        </w:numPr>
        <w:suppressAutoHyphens/>
        <w:spacing w:line="100" w:lineRule="atLeast"/>
        <w:ind w:left="709" w:hanging="709"/>
        <w:jc w:val="both"/>
        <w:rPr>
          <w:sz w:val="24"/>
        </w:rPr>
      </w:pPr>
      <w:r w:rsidRPr="001948B7">
        <w:rPr>
          <w:b/>
          <w:bCs/>
          <w:sz w:val="24"/>
        </w:rPr>
        <w:t xml:space="preserve">Транспортные расходы: </w:t>
      </w:r>
      <w:r w:rsidRPr="001948B7">
        <w:rPr>
          <w:sz w:val="24"/>
        </w:rPr>
        <w:t>доставка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 (место поставки). Стоимость доставки входит в стоимость Товара.</w:t>
      </w:r>
    </w:p>
    <w:p w:rsidR="0089594D" w:rsidRPr="001948B7" w:rsidRDefault="0089594D" w:rsidP="0089594D">
      <w:pPr>
        <w:widowControl w:val="0"/>
        <w:ind w:left="709" w:hanging="709"/>
        <w:jc w:val="both"/>
        <w:rPr>
          <w:bCs/>
          <w:sz w:val="24"/>
        </w:rPr>
      </w:pPr>
    </w:p>
    <w:p w:rsidR="0089594D" w:rsidRPr="001948B7" w:rsidRDefault="0089594D" w:rsidP="001948B7">
      <w:pPr>
        <w:numPr>
          <w:ilvl w:val="0"/>
          <w:numId w:val="18"/>
        </w:numPr>
        <w:suppressAutoHyphens/>
        <w:spacing w:line="100" w:lineRule="atLeast"/>
        <w:ind w:left="709" w:hanging="709"/>
        <w:jc w:val="both"/>
        <w:rPr>
          <w:sz w:val="24"/>
        </w:rPr>
      </w:pPr>
      <w:r w:rsidRPr="001948B7">
        <w:rPr>
          <w:b/>
          <w:bCs/>
          <w:sz w:val="24"/>
        </w:rPr>
        <w:lastRenderedPageBreak/>
        <w:t>Место (адрес) поставки товара:</w:t>
      </w:r>
      <w:r w:rsidRPr="001948B7">
        <w:rPr>
          <w:sz w:val="24"/>
        </w:rPr>
        <w:t xml:space="preserve"> г. Москва, г. Щербинка, ул. Первомайская, д. 6 (место поставки)</w:t>
      </w:r>
    </w:p>
    <w:p w:rsidR="0089594D" w:rsidRPr="001948B7" w:rsidRDefault="0089594D" w:rsidP="001948B7">
      <w:pPr>
        <w:widowControl w:val="0"/>
        <w:ind w:left="709" w:hanging="709"/>
        <w:jc w:val="both"/>
        <w:rPr>
          <w:sz w:val="24"/>
        </w:rPr>
      </w:pPr>
    </w:p>
    <w:p w:rsidR="0089594D" w:rsidRPr="001948B7" w:rsidRDefault="0089594D" w:rsidP="001948B7">
      <w:pPr>
        <w:numPr>
          <w:ilvl w:val="0"/>
          <w:numId w:val="18"/>
        </w:numPr>
        <w:suppressAutoHyphens/>
        <w:spacing w:line="100" w:lineRule="atLeast"/>
        <w:ind w:left="709" w:hanging="709"/>
        <w:jc w:val="both"/>
        <w:rPr>
          <w:sz w:val="24"/>
        </w:rPr>
      </w:pPr>
      <w:r w:rsidRPr="001948B7">
        <w:rPr>
          <w:b/>
          <w:bCs/>
          <w:sz w:val="24"/>
        </w:rPr>
        <w:t xml:space="preserve">Условия и срок (период, график) поставки товара: </w:t>
      </w:r>
    </w:p>
    <w:p w:rsidR="0089594D" w:rsidRPr="001948B7" w:rsidRDefault="0089594D" w:rsidP="001948B7">
      <w:pPr>
        <w:numPr>
          <w:ilvl w:val="1"/>
          <w:numId w:val="21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Период поставки: в течение 1 (одного) календарного года с даты заключения договора.</w:t>
      </w:r>
    </w:p>
    <w:p w:rsidR="0089594D" w:rsidRPr="001948B7" w:rsidRDefault="0089594D" w:rsidP="001948B7">
      <w:pPr>
        <w:numPr>
          <w:ilvl w:val="1"/>
          <w:numId w:val="21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Поставки Товара осуществляются на основании Заявки на месяц, поставки – равномерно, партиями, в течение месяца, указанного в Заяв</w:t>
      </w:r>
      <w:r w:rsidR="00B64712" w:rsidRPr="001948B7">
        <w:rPr>
          <w:bCs/>
          <w:sz w:val="24"/>
        </w:rPr>
        <w:t>ке Покупателя, в срок не более 1</w:t>
      </w:r>
      <w:r w:rsidRPr="001948B7">
        <w:rPr>
          <w:bCs/>
          <w:sz w:val="24"/>
        </w:rPr>
        <w:t>0 (</w:t>
      </w:r>
      <w:r w:rsidR="00B64712" w:rsidRPr="001948B7">
        <w:rPr>
          <w:bCs/>
          <w:sz w:val="24"/>
        </w:rPr>
        <w:t>десяти</w:t>
      </w:r>
      <w:r w:rsidRPr="001948B7">
        <w:rPr>
          <w:bCs/>
          <w:sz w:val="24"/>
        </w:rPr>
        <w:t>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:rsidR="0089594D" w:rsidRPr="001948B7" w:rsidRDefault="0089594D" w:rsidP="001948B7">
      <w:pPr>
        <w:ind w:left="709" w:hanging="709"/>
        <w:jc w:val="both"/>
        <w:rPr>
          <w:bCs/>
          <w:sz w:val="24"/>
        </w:rPr>
      </w:pPr>
    </w:p>
    <w:p w:rsidR="0089594D" w:rsidRPr="001948B7" w:rsidRDefault="0089594D" w:rsidP="001948B7">
      <w:pPr>
        <w:numPr>
          <w:ilvl w:val="0"/>
          <w:numId w:val="21"/>
        </w:numPr>
        <w:suppressAutoHyphens/>
        <w:spacing w:line="100" w:lineRule="atLeast"/>
        <w:ind w:left="709" w:hanging="709"/>
        <w:jc w:val="both"/>
        <w:rPr>
          <w:bCs/>
          <w:sz w:val="24"/>
        </w:rPr>
      </w:pPr>
      <w:r w:rsidRPr="001948B7">
        <w:rPr>
          <w:b/>
          <w:bCs/>
          <w:sz w:val="24"/>
        </w:rPr>
        <w:t>Форма, сроки и порядок оплаты:</w:t>
      </w:r>
      <w:r w:rsidRPr="001948B7">
        <w:rPr>
          <w:bCs/>
          <w:sz w:val="24"/>
        </w:rPr>
        <w:t xml:space="preserve">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:rsidR="0089594D" w:rsidRPr="001948B7" w:rsidRDefault="0089594D" w:rsidP="001948B7">
      <w:pPr>
        <w:ind w:left="709" w:hanging="709"/>
        <w:rPr>
          <w:bCs/>
          <w:sz w:val="24"/>
        </w:rPr>
      </w:pPr>
    </w:p>
    <w:p w:rsidR="00F654A1" w:rsidRPr="001948B7" w:rsidRDefault="0089594D" w:rsidP="001948B7">
      <w:pPr>
        <w:numPr>
          <w:ilvl w:val="0"/>
          <w:numId w:val="21"/>
        </w:numPr>
        <w:suppressAutoHyphens/>
        <w:spacing w:line="100" w:lineRule="atLeast"/>
        <w:ind w:left="709" w:hanging="709"/>
        <w:jc w:val="both"/>
        <w:rPr>
          <w:b/>
          <w:bCs/>
          <w:sz w:val="24"/>
        </w:rPr>
      </w:pPr>
      <w:r w:rsidRPr="001948B7">
        <w:rPr>
          <w:b/>
          <w:bCs/>
          <w:sz w:val="24"/>
        </w:rPr>
        <w:t>Обязательные (минимальные) требования к качеству поставляемого Товара:</w:t>
      </w:r>
    </w:p>
    <w:p w:rsidR="00F654A1" w:rsidRPr="001948B7" w:rsidRDefault="00F654A1" w:rsidP="001948B7">
      <w:pPr>
        <w:numPr>
          <w:ilvl w:val="1"/>
          <w:numId w:val="20"/>
        </w:numPr>
        <w:tabs>
          <w:tab w:val="left" w:pos="709"/>
        </w:tabs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свойств.</w:t>
      </w:r>
    </w:p>
    <w:p w:rsidR="00F654A1" w:rsidRPr="001948B7" w:rsidRDefault="00F654A1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 xml:space="preserve">Качество Товара должно соответствовать требованиям нормативных документов (ГОСТ, ТУ и др.) или конструкторской документации Покупателя или изготовителя, согласованной Покупателем. </w:t>
      </w:r>
    </w:p>
    <w:p w:rsidR="00F654A1" w:rsidRPr="001948B7" w:rsidRDefault="00F654A1" w:rsidP="001948B7">
      <w:pPr>
        <w:numPr>
          <w:ilvl w:val="1"/>
          <w:numId w:val="20"/>
        </w:numPr>
        <w:tabs>
          <w:tab w:val="left" w:pos="709"/>
        </w:tabs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:rsidR="00F654A1" w:rsidRPr="001948B7" w:rsidRDefault="00F654A1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Требования к безопасности: Поставщик должен гарантировать безопасность товара для жизни, здоровья, имущества Покупателя и окружающей среды при обычных условиях его использования, хранения, транспортировки и утилизации.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Поставщик обязан иметь и поддерживать сертифицированную систему менеджмента качества по ISO 9001:2015, ISO/TS 16949 или иметь план по внедрению и сертификации ISO 9001:2015, ISO/TS 16949 продолжительностью не более чем 18 (восемнадцать) месяцев с момента подписания Договора.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позднее, чем за 30 (тридцать)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9001:2015, ISO/TS 16949.</w:t>
      </w:r>
    </w:p>
    <w:p w:rsidR="0089594D" w:rsidRPr="001948B7" w:rsidRDefault="0089594D" w:rsidP="001948B7">
      <w:pPr>
        <w:ind w:left="709"/>
        <w:rPr>
          <w:bCs/>
          <w:sz w:val="24"/>
        </w:rPr>
      </w:pPr>
    </w:p>
    <w:p w:rsidR="0089594D" w:rsidRPr="001948B7" w:rsidRDefault="0089594D" w:rsidP="001948B7">
      <w:pPr>
        <w:numPr>
          <w:ilvl w:val="0"/>
          <w:numId w:val="20"/>
        </w:numPr>
        <w:suppressAutoHyphens/>
        <w:spacing w:line="100" w:lineRule="atLeast"/>
        <w:ind w:left="709" w:firstLine="0"/>
        <w:jc w:val="both"/>
        <w:rPr>
          <w:b/>
          <w:bCs/>
          <w:sz w:val="24"/>
        </w:rPr>
      </w:pPr>
      <w:r w:rsidRPr="001948B7">
        <w:rPr>
          <w:b/>
          <w:bCs/>
          <w:sz w:val="24"/>
        </w:rPr>
        <w:t>Обязательные (минимальные) требования к упаковке Товара: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 xml:space="preserve"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в соответствии с техническими условиями производителя. Товар должен быть упакован 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хранения, а также соответствовать </w:t>
      </w:r>
      <w:r w:rsidRPr="001948B7">
        <w:rPr>
          <w:bCs/>
          <w:sz w:val="24"/>
        </w:rPr>
        <w:lastRenderedPageBreak/>
        <w:t>Техническому регламенту Таможенного союза «О безопасности упаковки» ТР ТС 005/2011. Упаковка должна быть без вмятин, следов вскрытия и иных внешних повреждений.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Упаковка Товара должна иметь информацию об изделии, предприятии-изготовителе, стране происхождения (производства), каталожный номер (если предусмотрен производителем), дате изготовления.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Федерации.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 xml:space="preserve">Продукция должна быть упакована на деревянный евро-поддон размером 0,8 м х 1,2 м, и высотой не более 1,5 м. Поддоны должны быть обернуты в прозрачную полиэтиленовую пленку (не менее 3 (трёх) слоёв), зафиксированную скотчем таким образом, чтобы исключить свободный доступ к Товарам. </w:t>
      </w:r>
      <w:proofErr w:type="spellStart"/>
      <w:r w:rsidRPr="001948B7">
        <w:rPr>
          <w:bCs/>
          <w:sz w:val="24"/>
        </w:rPr>
        <w:t>Стрейч</w:t>
      </w:r>
      <w:proofErr w:type="spellEnd"/>
      <w:r w:rsidRPr="001948B7">
        <w:rPr>
          <w:bCs/>
          <w:sz w:val="24"/>
        </w:rPr>
        <w:t xml:space="preserve">-пленка крепится к поддону, начиная с ножки поддона и должна фиксировать коробки на деревянном поддоне, исключая возможность их перемещения. 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Поставщик должен обеспечить выполнение следующих требований к упаковке и маркировке: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стойкость к механическим воздействиям (</w:t>
      </w:r>
      <w:proofErr w:type="spellStart"/>
      <w:r w:rsidRPr="001948B7">
        <w:rPr>
          <w:bCs/>
          <w:sz w:val="24"/>
        </w:rPr>
        <w:t>формо</w:t>
      </w:r>
      <w:proofErr w:type="spellEnd"/>
      <w:r w:rsidRPr="001948B7">
        <w:rPr>
          <w:bCs/>
          <w:sz w:val="24"/>
        </w:rPr>
        <w:t xml:space="preserve">-устойчивость при статических нагрузках, </w:t>
      </w:r>
      <w:proofErr w:type="spellStart"/>
      <w:r w:rsidRPr="001948B7">
        <w:rPr>
          <w:bCs/>
          <w:sz w:val="24"/>
        </w:rPr>
        <w:t>вибростойкость</w:t>
      </w:r>
      <w:proofErr w:type="spellEnd"/>
      <w:r w:rsidRPr="001948B7">
        <w:rPr>
          <w:bCs/>
          <w:sz w:val="24"/>
        </w:rPr>
        <w:t xml:space="preserve"> и стойкость к ударным нагрузкам, оптимальные значения физико-механических свойств - прочности и деформации);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упаковка должна иметь оптимальные показатели защиты от проницания (по отношению к газам, воде и ее парам, жирам и другим средам, в том числе агрессивным), а также повышенные показатели защиты от проникновения пыли и грязи для чувствительного Товара (например, электронных компонентов и узлов, приводных механизмов, элементов оптики, включая стекло и т.п.);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 xml:space="preserve">надежное разделение Товара внутри упаковки, препятствующее его взаимодействию и повреждению за счет </w:t>
      </w:r>
      <w:proofErr w:type="spellStart"/>
      <w:r w:rsidRPr="001948B7">
        <w:rPr>
          <w:bCs/>
          <w:sz w:val="24"/>
        </w:rPr>
        <w:t>внутритарного</w:t>
      </w:r>
      <w:proofErr w:type="spellEnd"/>
      <w:r w:rsidRPr="001948B7">
        <w:rPr>
          <w:bCs/>
          <w:sz w:val="24"/>
        </w:rPr>
        <w:t xml:space="preserve"> контакта между собой в процессе транспортировки, перегрузки, складировании и хранении;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 xml:space="preserve">индивидуальная и/или групповая упаковки должны содержать манипуляционные знаки в соответствии с ГОСТ 14192-96 (максимальная высота </w:t>
      </w:r>
      <w:proofErr w:type="spellStart"/>
      <w:r w:rsidRPr="001948B7">
        <w:rPr>
          <w:bCs/>
          <w:sz w:val="24"/>
        </w:rPr>
        <w:t>паллетирования</w:t>
      </w:r>
      <w:proofErr w:type="spellEnd"/>
      <w:r w:rsidRPr="001948B7">
        <w:rPr>
          <w:bCs/>
          <w:sz w:val="24"/>
        </w:rPr>
        <w:t xml:space="preserve">, возможность </w:t>
      </w:r>
      <w:proofErr w:type="spellStart"/>
      <w:r w:rsidRPr="001948B7">
        <w:rPr>
          <w:bCs/>
          <w:sz w:val="24"/>
        </w:rPr>
        <w:t>штабелирования</w:t>
      </w:r>
      <w:proofErr w:type="spellEnd"/>
      <w:r w:rsidRPr="001948B7">
        <w:rPr>
          <w:bCs/>
          <w:sz w:val="24"/>
        </w:rPr>
        <w:t>, места зацепов и т.д.), относящиеся к данной группе Товара; поддоны, на которых доставляется Товар, не должны иметь повреждений;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любая индивидуальная упаковка должна содержать информацию, однозначно идентифицирующую Товар, находящийся внутри;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маркировка должна быть устойчива к воздействиям окружающей среды и надежно закреплена на поверхности упаковки;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групповая упаковка должна иметь маркировку, включающую следующую информацию:</w:t>
      </w:r>
    </w:p>
    <w:p w:rsidR="0089594D" w:rsidRPr="001948B7" w:rsidRDefault="0089594D" w:rsidP="0089594D">
      <w:pPr>
        <w:ind w:left="709"/>
        <w:jc w:val="both"/>
        <w:rPr>
          <w:color w:val="000000"/>
          <w:sz w:val="24"/>
        </w:rPr>
      </w:pPr>
    </w:p>
    <w:tbl>
      <w:tblPr>
        <w:tblW w:w="3119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89594D" w:rsidRPr="001948B7" w:rsidTr="001948B7">
        <w:trPr>
          <w:trHeight w:val="24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Поставщик:</w:t>
            </w:r>
          </w:p>
        </w:tc>
      </w:tr>
      <w:tr w:rsidR="0089594D" w:rsidRPr="001948B7" w:rsidTr="001948B7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Номер партии:</w:t>
            </w:r>
          </w:p>
        </w:tc>
      </w:tr>
      <w:tr w:rsidR="0089594D" w:rsidRPr="001948B7" w:rsidTr="001948B7">
        <w:trPr>
          <w:trHeight w:val="273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 xml:space="preserve">Дата упаковки: </w:t>
            </w:r>
          </w:p>
        </w:tc>
      </w:tr>
      <w:tr w:rsidR="0089594D" w:rsidRPr="001948B7" w:rsidTr="001948B7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Наименование Товара:</w:t>
            </w:r>
          </w:p>
        </w:tc>
      </w:tr>
      <w:tr w:rsidR="0089594D" w:rsidRPr="001948B7" w:rsidTr="001948B7">
        <w:trPr>
          <w:trHeight w:val="25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Ед. изм.:</w:t>
            </w:r>
          </w:p>
        </w:tc>
      </w:tr>
      <w:tr w:rsidR="0089594D" w:rsidRPr="001948B7" w:rsidTr="001948B7">
        <w:trPr>
          <w:trHeight w:val="239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1948B7">
              <w:rPr>
                <w:color w:val="000000"/>
                <w:sz w:val="24"/>
              </w:rPr>
              <w:t>Дата производства:</w:t>
            </w:r>
          </w:p>
        </w:tc>
      </w:tr>
      <w:tr w:rsidR="0089594D" w:rsidRPr="001948B7" w:rsidTr="001948B7">
        <w:trPr>
          <w:trHeight w:val="88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594D" w:rsidRPr="001948B7" w:rsidRDefault="0089594D" w:rsidP="00A513B3">
            <w:pPr>
              <w:jc w:val="both"/>
              <w:rPr>
                <w:bCs/>
                <w:sz w:val="24"/>
              </w:rPr>
            </w:pPr>
            <w:r w:rsidRPr="001948B7">
              <w:rPr>
                <w:bCs/>
                <w:sz w:val="24"/>
              </w:rPr>
              <w:t>Количество на поддоне:</w:t>
            </w:r>
          </w:p>
        </w:tc>
      </w:tr>
    </w:tbl>
    <w:p w:rsidR="0089594D" w:rsidRPr="001948B7" w:rsidRDefault="0089594D" w:rsidP="0089594D">
      <w:pPr>
        <w:ind w:left="709"/>
        <w:jc w:val="both"/>
        <w:rPr>
          <w:bCs/>
          <w:sz w:val="24"/>
        </w:rPr>
      </w:pPr>
    </w:p>
    <w:p w:rsidR="0089594D" w:rsidRPr="001948B7" w:rsidRDefault="0089594D" w:rsidP="00F654A1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lastRenderedPageBreak/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:rsidR="0089594D" w:rsidRPr="001948B7" w:rsidRDefault="0089594D" w:rsidP="0089594D">
      <w:pPr>
        <w:jc w:val="both"/>
        <w:rPr>
          <w:bCs/>
          <w:sz w:val="24"/>
        </w:rPr>
      </w:pPr>
    </w:p>
    <w:p w:rsidR="0089594D" w:rsidRPr="001948B7" w:rsidRDefault="0089594D" w:rsidP="00F654A1">
      <w:pPr>
        <w:numPr>
          <w:ilvl w:val="0"/>
          <w:numId w:val="20"/>
        </w:numPr>
        <w:suppressAutoHyphens/>
        <w:spacing w:line="100" w:lineRule="atLeast"/>
        <w:ind w:left="0" w:firstLine="0"/>
        <w:jc w:val="both"/>
        <w:rPr>
          <w:b/>
          <w:bCs/>
          <w:sz w:val="24"/>
        </w:rPr>
      </w:pPr>
      <w:r w:rsidRPr="001948B7">
        <w:rPr>
          <w:b/>
          <w:bCs/>
          <w:sz w:val="24"/>
        </w:rPr>
        <w:t>Гарантийный срок:</w:t>
      </w:r>
    </w:p>
    <w:p w:rsidR="0089594D" w:rsidRPr="001948B7" w:rsidRDefault="0089594D" w:rsidP="00F654A1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:rsidR="0089594D" w:rsidRPr="001948B7" w:rsidRDefault="0089594D" w:rsidP="00F654A1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 xml:space="preserve">При обнаружении в течение гарантийного срока несоответствия качества Товара требованиям Договора и/или нормативных документов, и/или иным согласованным качественным характеристикам, Покупатель вправе потребовать устранения выявленных недостатков (дефектов) либо замены на Товар надлежащего качества (в случае выявления неустранимых недостатков). </w:t>
      </w:r>
    </w:p>
    <w:p w:rsidR="0089594D" w:rsidRPr="001948B7" w:rsidRDefault="0089594D" w:rsidP="0089594D">
      <w:pPr>
        <w:ind w:left="709"/>
        <w:jc w:val="both"/>
        <w:rPr>
          <w:bCs/>
          <w:sz w:val="24"/>
        </w:rPr>
      </w:pPr>
    </w:p>
    <w:p w:rsidR="0089594D" w:rsidRPr="001948B7" w:rsidRDefault="0089594D" w:rsidP="001948B7">
      <w:pPr>
        <w:numPr>
          <w:ilvl w:val="0"/>
          <w:numId w:val="20"/>
        </w:numPr>
        <w:suppressAutoHyphens/>
        <w:spacing w:line="100" w:lineRule="atLeast"/>
        <w:ind w:left="709" w:hanging="709"/>
        <w:jc w:val="both"/>
        <w:rPr>
          <w:b/>
          <w:bCs/>
          <w:sz w:val="24"/>
        </w:rPr>
      </w:pPr>
      <w:r w:rsidRPr="001948B7">
        <w:rPr>
          <w:b/>
          <w:bCs/>
          <w:sz w:val="24"/>
        </w:rPr>
        <w:t>Требования к сопроводительной документации на поставляемый Товар:</w:t>
      </w:r>
    </w:p>
    <w:p w:rsidR="0089594D" w:rsidRPr="001948B7" w:rsidRDefault="0089594D" w:rsidP="001948B7">
      <w:pPr>
        <w:numPr>
          <w:ilvl w:val="1"/>
          <w:numId w:val="20"/>
        </w:numPr>
        <w:suppressAutoHyphens/>
        <w:ind w:left="709" w:hanging="709"/>
        <w:jc w:val="both"/>
        <w:rPr>
          <w:bCs/>
          <w:sz w:val="24"/>
        </w:rPr>
      </w:pPr>
      <w:r w:rsidRPr="001948B7">
        <w:rPr>
          <w:bCs/>
          <w:sz w:val="24"/>
        </w:rPr>
        <w:t>Поставщик предоставляет Покупателю с каждой партией Товара следующие относящиеся к Товару документы: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ТОРГ-12 либо УПД;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Счет-фактура (при условии поставки Товара по товарной накладной по форме ТОРГ-12);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Счет на оплату со ссылкой на реквизиты Договора;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Техническая документация на Товар (технический паспорт, инструкцию по эксплуатации на русском языка и иную предусмотренную предприятием-изготовителем документацию);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Документ, удостоверяющий качество продукции, выданный предприятием-изготовителем: сертификат качества, паспорт качества (оригинал или копия заверенная подписью уполномоченного представителя Поставщика и печатью);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оформления»);</w:t>
      </w:r>
    </w:p>
    <w:p w:rsidR="0089594D" w:rsidRPr="001948B7" w:rsidRDefault="0089594D" w:rsidP="0089594D">
      <w:pPr>
        <w:pStyle w:val="aff4"/>
        <w:numPr>
          <w:ilvl w:val="0"/>
          <w:numId w:val="19"/>
        </w:numPr>
        <w:suppressAutoHyphens/>
        <w:jc w:val="both"/>
        <w:rPr>
          <w:bCs/>
          <w:sz w:val="24"/>
        </w:rPr>
      </w:pPr>
      <w:r w:rsidRPr="001948B7">
        <w:rPr>
          <w:bCs/>
          <w:sz w:val="24"/>
        </w:rPr>
        <w:t>документы, подтверждающие факт завершения прохождения таможенной процедуры выпуска Товара для внутреннего потребления (по запросу Покупателя в случае поставки импортного Товара).</w:t>
      </w:r>
    </w:p>
    <w:p w:rsidR="008633C0" w:rsidRPr="001948B7" w:rsidRDefault="008633C0" w:rsidP="0089594D">
      <w:pPr>
        <w:pStyle w:val="aff4"/>
        <w:ind w:left="1080"/>
        <w:jc w:val="both"/>
        <w:rPr>
          <w:bCs/>
          <w:sz w:val="24"/>
        </w:rPr>
      </w:pPr>
    </w:p>
    <w:sectPr w:rsidR="008633C0" w:rsidRPr="001948B7" w:rsidSect="001948B7">
      <w:headerReference w:type="default" r:id="rId8"/>
      <w:footerReference w:type="default" r:id="rId9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01" w:rsidRDefault="000B2301">
      <w:r>
        <w:separator/>
      </w:r>
    </w:p>
  </w:endnote>
  <w:endnote w:type="continuationSeparator" w:id="0">
    <w:p w:rsidR="000B2301" w:rsidRDefault="000B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8633C0">
      <w:trPr>
        <w:trHeight w:val="129"/>
      </w:trPr>
      <w:tc>
        <w:tcPr>
          <w:tcW w:w="15393" w:type="dxa"/>
          <w:shd w:val="clear" w:color="auto" w:fill="auto"/>
        </w:tcPr>
        <w:p w:rsidR="008633C0" w:rsidRDefault="008633C0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633C0">
      <w:trPr>
        <w:trHeight w:val="138"/>
      </w:trPr>
      <w:tc>
        <w:tcPr>
          <w:tcW w:w="15393" w:type="dxa"/>
          <w:shd w:val="clear" w:color="auto" w:fill="auto"/>
        </w:tcPr>
        <w:p w:rsidR="008633C0" w:rsidRDefault="00260273">
          <w:pPr>
            <w:pStyle w:val="af9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6B522F">
            <w:rPr>
              <w:b/>
              <w:bCs/>
              <w:noProof/>
              <w:sz w:val="20"/>
              <w:szCs w:val="20"/>
            </w:rPr>
            <w:t>4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6B522F">
            <w:rPr>
              <w:b/>
              <w:bCs/>
              <w:noProof/>
              <w:sz w:val="20"/>
              <w:szCs w:val="20"/>
            </w:rPr>
            <w:t>4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633C0" w:rsidRDefault="008633C0">
    <w:pPr>
      <w:pStyle w:val="af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01" w:rsidRDefault="000B2301">
      <w:r>
        <w:separator/>
      </w:r>
    </w:p>
  </w:footnote>
  <w:footnote w:type="continuationSeparator" w:id="0">
    <w:p w:rsidR="000B2301" w:rsidRDefault="000B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C0" w:rsidRDefault="008633C0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703"/>
    <w:multiLevelType w:val="hybridMultilevel"/>
    <w:tmpl w:val="B04AB796"/>
    <w:lvl w:ilvl="0" w:tplc="6F1AB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321E84">
      <w:start w:val="1"/>
      <w:numFmt w:val="lowerLetter"/>
      <w:lvlText w:val="%2."/>
      <w:lvlJc w:val="left"/>
      <w:pPr>
        <w:ind w:left="1440" w:hanging="360"/>
      </w:pPr>
    </w:lvl>
    <w:lvl w:ilvl="2" w:tplc="39BC3786">
      <w:start w:val="1"/>
      <w:numFmt w:val="lowerRoman"/>
      <w:lvlText w:val="%3."/>
      <w:lvlJc w:val="right"/>
      <w:pPr>
        <w:ind w:left="2160" w:hanging="180"/>
      </w:pPr>
    </w:lvl>
    <w:lvl w:ilvl="3" w:tplc="646E4008">
      <w:start w:val="1"/>
      <w:numFmt w:val="decimal"/>
      <w:lvlText w:val="%4."/>
      <w:lvlJc w:val="left"/>
      <w:pPr>
        <w:ind w:left="2880" w:hanging="360"/>
      </w:pPr>
    </w:lvl>
    <w:lvl w:ilvl="4" w:tplc="CDC249D0">
      <w:start w:val="1"/>
      <w:numFmt w:val="lowerLetter"/>
      <w:lvlText w:val="%5."/>
      <w:lvlJc w:val="left"/>
      <w:pPr>
        <w:ind w:left="3600" w:hanging="360"/>
      </w:pPr>
    </w:lvl>
    <w:lvl w:ilvl="5" w:tplc="0A6E7C7C">
      <w:start w:val="1"/>
      <w:numFmt w:val="lowerRoman"/>
      <w:lvlText w:val="%6."/>
      <w:lvlJc w:val="right"/>
      <w:pPr>
        <w:ind w:left="4320" w:hanging="180"/>
      </w:pPr>
    </w:lvl>
    <w:lvl w:ilvl="6" w:tplc="1820CB16">
      <w:start w:val="1"/>
      <w:numFmt w:val="decimal"/>
      <w:lvlText w:val="%7."/>
      <w:lvlJc w:val="left"/>
      <w:pPr>
        <w:ind w:left="5040" w:hanging="360"/>
      </w:pPr>
    </w:lvl>
    <w:lvl w:ilvl="7" w:tplc="BD501826">
      <w:start w:val="1"/>
      <w:numFmt w:val="lowerLetter"/>
      <w:lvlText w:val="%8."/>
      <w:lvlJc w:val="left"/>
      <w:pPr>
        <w:ind w:left="5760" w:hanging="360"/>
      </w:pPr>
    </w:lvl>
    <w:lvl w:ilvl="8" w:tplc="AE5200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EEF"/>
    <w:multiLevelType w:val="hybridMultilevel"/>
    <w:tmpl w:val="1090AB0C"/>
    <w:lvl w:ilvl="0" w:tplc="7BF26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0E9458">
      <w:start w:val="1"/>
      <w:numFmt w:val="lowerLetter"/>
      <w:lvlText w:val="%2."/>
      <w:lvlJc w:val="left"/>
      <w:pPr>
        <w:ind w:left="1440" w:hanging="360"/>
      </w:pPr>
    </w:lvl>
    <w:lvl w:ilvl="2" w:tplc="A1B2CDAA">
      <w:start w:val="1"/>
      <w:numFmt w:val="lowerRoman"/>
      <w:lvlText w:val="%3."/>
      <w:lvlJc w:val="right"/>
      <w:pPr>
        <w:ind w:left="2160" w:hanging="180"/>
      </w:pPr>
    </w:lvl>
    <w:lvl w:ilvl="3" w:tplc="84F074EE">
      <w:start w:val="1"/>
      <w:numFmt w:val="decimal"/>
      <w:lvlText w:val="%4."/>
      <w:lvlJc w:val="left"/>
      <w:pPr>
        <w:ind w:left="2880" w:hanging="360"/>
      </w:pPr>
    </w:lvl>
    <w:lvl w:ilvl="4" w:tplc="70001174">
      <w:start w:val="1"/>
      <w:numFmt w:val="lowerLetter"/>
      <w:lvlText w:val="%5."/>
      <w:lvlJc w:val="left"/>
      <w:pPr>
        <w:ind w:left="3600" w:hanging="360"/>
      </w:pPr>
    </w:lvl>
    <w:lvl w:ilvl="5" w:tplc="FEC69318">
      <w:start w:val="1"/>
      <w:numFmt w:val="lowerRoman"/>
      <w:lvlText w:val="%6."/>
      <w:lvlJc w:val="right"/>
      <w:pPr>
        <w:ind w:left="4320" w:hanging="180"/>
      </w:pPr>
    </w:lvl>
    <w:lvl w:ilvl="6" w:tplc="6D6E8088">
      <w:start w:val="1"/>
      <w:numFmt w:val="decimal"/>
      <w:lvlText w:val="%7."/>
      <w:lvlJc w:val="left"/>
      <w:pPr>
        <w:ind w:left="5040" w:hanging="360"/>
      </w:pPr>
    </w:lvl>
    <w:lvl w:ilvl="7" w:tplc="79589A5C">
      <w:start w:val="1"/>
      <w:numFmt w:val="lowerLetter"/>
      <w:lvlText w:val="%8."/>
      <w:lvlJc w:val="left"/>
      <w:pPr>
        <w:ind w:left="5760" w:hanging="360"/>
      </w:pPr>
    </w:lvl>
    <w:lvl w:ilvl="8" w:tplc="2EE0BC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BED"/>
    <w:multiLevelType w:val="multilevel"/>
    <w:tmpl w:val="52A02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3" w15:restartNumberingAfterBreak="0">
    <w:nsid w:val="241D2557"/>
    <w:multiLevelType w:val="hybridMultilevel"/>
    <w:tmpl w:val="498E2176"/>
    <w:lvl w:ilvl="0" w:tplc="35CA153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E4E01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6809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BC3C9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8AAB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9C1A7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6A25B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598EAF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482866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B2134"/>
    <w:multiLevelType w:val="hybridMultilevel"/>
    <w:tmpl w:val="01A20140"/>
    <w:lvl w:ilvl="0" w:tplc="7296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81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6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E1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4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EF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28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6A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5EA5"/>
    <w:multiLevelType w:val="multilevel"/>
    <w:tmpl w:val="E7822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6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cs="Times New Roman" w:hint="default"/>
        <w:color w:val="auto"/>
      </w:rPr>
    </w:lvl>
  </w:abstractNum>
  <w:abstractNum w:abstractNumId="7" w15:restartNumberingAfterBreak="0">
    <w:nsid w:val="2E506640"/>
    <w:multiLevelType w:val="hybridMultilevel"/>
    <w:tmpl w:val="EE4C6D50"/>
    <w:lvl w:ilvl="0" w:tplc="ED4C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D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1B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A5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A6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8FA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67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42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A6A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04B48"/>
    <w:multiLevelType w:val="hybridMultilevel"/>
    <w:tmpl w:val="92847920"/>
    <w:lvl w:ilvl="0" w:tplc="4D505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2E67E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08CF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2C73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7EB6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F853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3032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60C3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FC51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E66"/>
    <w:multiLevelType w:val="multilevel"/>
    <w:tmpl w:val="96B6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0" w15:restartNumberingAfterBreak="0">
    <w:nsid w:val="44E13D60"/>
    <w:multiLevelType w:val="multilevel"/>
    <w:tmpl w:val="4126A8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881DD8"/>
    <w:multiLevelType w:val="multilevel"/>
    <w:tmpl w:val="4E708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AE373F"/>
    <w:multiLevelType w:val="hybridMultilevel"/>
    <w:tmpl w:val="67FA825C"/>
    <w:lvl w:ilvl="0" w:tplc="6E6A58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D280B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5F2D9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C149D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62F4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A48C2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60CF2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A42C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6901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31B7E32"/>
    <w:multiLevelType w:val="hybridMultilevel"/>
    <w:tmpl w:val="5280938C"/>
    <w:lvl w:ilvl="0" w:tplc="CC009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ACA656A">
      <w:start w:val="1"/>
      <w:numFmt w:val="lowerLetter"/>
      <w:lvlText w:val="%2."/>
      <w:lvlJc w:val="left"/>
      <w:pPr>
        <w:ind w:left="1440" w:hanging="360"/>
      </w:pPr>
    </w:lvl>
    <w:lvl w:ilvl="2" w:tplc="0054F18C">
      <w:start w:val="1"/>
      <w:numFmt w:val="lowerRoman"/>
      <w:lvlText w:val="%3."/>
      <w:lvlJc w:val="right"/>
      <w:pPr>
        <w:ind w:left="2160" w:hanging="180"/>
      </w:pPr>
    </w:lvl>
    <w:lvl w:ilvl="3" w:tplc="0D6E81B6">
      <w:start w:val="1"/>
      <w:numFmt w:val="decimal"/>
      <w:lvlText w:val="%4."/>
      <w:lvlJc w:val="left"/>
      <w:pPr>
        <w:ind w:left="2880" w:hanging="360"/>
      </w:pPr>
    </w:lvl>
    <w:lvl w:ilvl="4" w:tplc="B60EAF78">
      <w:start w:val="1"/>
      <w:numFmt w:val="lowerLetter"/>
      <w:lvlText w:val="%5."/>
      <w:lvlJc w:val="left"/>
      <w:pPr>
        <w:ind w:left="3600" w:hanging="360"/>
      </w:pPr>
    </w:lvl>
    <w:lvl w:ilvl="5" w:tplc="FDCC363C">
      <w:start w:val="1"/>
      <w:numFmt w:val="lowerRoman"/>
      <w:lvlText w:val="%6."/>
      <w:lvlJc w:val="right"/>
      <w:pPr>
        <w:ind w:left="4320" w:hanging="180"/>
      </w:pPr>
    </w:lvl>
    <w:lvl w:ilvl="6" w:tplc="07440FC0">
      <w:start w:val="1"/>
      <w:numFmt w:val="decimal"/>
      <w:lvlText w:val="%7."/>
      <w:lvlJc w:val="left"/>
      <w:pPr>
        <w:ind w:left="5040" w:hanging="360"/>
      </w:pPr>
    </w:lvl>
    <w:lvl w:ilvl="7" w:tplc="A1E0AC08">
      <w:start w:val="1"/>
      <w:numFmt w:val="lowerLetter"/>
      <w:lvlText w:val="%8."/>
      <w:lvlJc w:val="left"/>
      <w:pPr>
        <w:ind w:left="5760" w:hanging="360"/>
      </w:pPr>
    </w:lvl>
    <w:lvl w:ilvl="8" w:tplc="5C84C8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2F34"/>
    <w:multiLevelType w:val="multilevel"/>
    <w:tmpl w:val="537C1E8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5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CF03B8"/>
    <w:multiLevelType w:val="multilevel"/>
    <w:tmpl w:val="7B6430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61177614"/>
    <w:multiLevelType w:val="hybridMultilevel"/>
    <w:tmpl w:val="82186F76"/>
    <w:lvl w:ilvl="0" w:tplc="714E15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4ACA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02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2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C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41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2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EB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876F8"/>
    <w:multiLevelType w:val="multilevel"/>
    <w:tmpl w:val="03EA83C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9" w15:restartNumberingAfterBreak="0">
    <w:nsid w:val="7A1D7FC6"/>
    <w:multiLevelType w:val="multilevel"/>
    <w:tmpl w:val="EE7E02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0" w15:restartNumberingAfterBreak="0">
    <w:nsid w:val="7BC17596"/>
    <w:multiLevelType w:val="multilevel"/>
    <w:tmpl w:val="06D4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7"/>
  </w:num>
  <w:num w:numId="15">
    <w:abstractNumId w:val="11"/>
  </w:num>
  <w:num w:numId="16">
    <w:abstractNumId w:val="6"/>
  </w:num>
  <w:num w:numId="17">
    <w:abstractNumId w:val="2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0"/>
    <w:rsid w:val="000840CC"/>
    <w:rsid w:val="000B2301"/>
    <w:rsid w:val="001948B7"/>
    <w:rsid w:val="00216257"/>
    <w:rsid w:val="00220FC7"/>
    <w:rsid w:val="00227D41"/>
    <w:rsid w:val="002537B6"/>
    <w:rsid w:val="00260273"/>
    <w:rsid w:val="002B3307"/>
    <w:rsid w:val="00367DDD"/>
    <w:rsid w:val="00460053"/>
    <w:rsid w:val="0051378B"/>
    <w:rsid w:val="00585A17"/>
    <w:rsid w:val="006341D2"/>
    <w:rsid w:val="006B522F"/>
    <w:rsid w:val="00704F99"/>
    <w:rsid w:val="00706C8E"/>
    <w:rsid w:val="007C6B79"/>
    <w:rsid w:val="008633C0"/>
    <w:rsid w:val="0089594D"/>
    <w:rsid w:val="008F1A4C"/>
    <w:rsid w:val="00913DC7"/>
    <w:rsid w:val="00AA17CA"/>
    <w:rsid w:val="00B545F7"/>
    <w:rsid w:val="00B64712"/>
    <w:rsid w:val="00B80DB6"/>
    <w:rsid w:val="00B847F6"/>
    <w:rsid w:val="00C06961"/>
    <w:rsid w:val="00C3415E"/>
    <w:rsid w:val="00CD3FD0"/>
    <w:rsid w:val="00D1645A"/>
    <w:rsid w:val="00D47957"/>
    <w:rsid w:val="00E56430"/>
    <w:rsid w:val="00F3495B"/>
    <w:rsid w:val="00F654A1"/>
    <w:rsid w:val="00FB62D7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58A6A"/>
  <w15:docId w15:val="{27CD8468-2E02-4080-A913-893CDBA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4">
    <w:name w:val="Символ нумерации"/>
  </w:style>
  <w:style w:type="paragraph" w:customStyle="1" w:styleId="14">
    <w:name w:val="Заголовок1"/>
    <w:basedOn w:val="a"/>
    <w:next w:val="af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Tahoma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Body Text Indent"/>
    <w:basedOn w:val="a"/>
    <w:link w:val="afe"/>
    <w:uiPriority w:val="99"/>
    <w:unhideWhenUsed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Pr>
      <w:sz w:val="28"/>
      <w:szCs w:val="24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fa">
    <w:name w:val="Нижний колонтитул Знак"/>
    <w:link w:val="af9"/>
    <w:uiPriority w:val="99"/>
    <w:rPr>
      <w:sz w:val="28"/>
      <w:szCs w:val="24"/>
    </w:rPr>
  </w:style>
  <w:style w:type="table" w:customStyle="1" w:styleId="16">
    <w:name w:val="Сетка таблицы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Hyperlink"/>
    <w:uiPriority w:val="99"/>
    <w:unhideWhenUsed/>
    <w:rPr>
      <w:color w:val="0563C1"/>
      <w:u w:val="single"/>
    </w:rPr>
  </w:style>
  <w:style w:type="character" w:styleId="aff3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sz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24"/>
      <w:u w:val="single"/>
    </w:rPr>
  </w:style>
  <w:style w:type="paragraph" w:styleId="af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f5"/>
    <w:uiPriority w:val="34"/>
    <w:qFormat/>
    <w:pPr>
      <w:ind w:left="708"/>
    </w:pPr>
  </w:style>
  <w:style w:type="character" w:customStyle="1" w:styleId="af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f4"/>
    <w:uiPriority w:val="3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11</cp:revision>
  <dcterms:created xsi:type="dcterms:W3CDTF">2021-08-23T11:18:00Z</dcterms:created>
  <dcterms:modified xsi:type="dcterms:W3CDTF">2021-09-13T12:50:00Z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</Properties>
</file>